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Dämmerungsschalter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KNX - Unterputz eckig V3</w:t>
      </w:r>
    </w:p>
    <w:p/>
    <w:p>
      <w:pPr/>
      <w:r>
        <w:rPr/>
        <w:t xml:space="preserve">Dämmerungsschalter im Innen- und Außenbereich mit KNX Schnittstelle, 1 Kanal; geeignet für Montagehöhe 2,00 – 4,00 m; Lichtmessung 2 – 1000 lx; Teachfunktion, Versorgungsspannung: KNX-Bus; Schutzart: IP20; optionales Hauptlicht 0 - 100 %, KNX-Funktionen: Lichtausgang 2x, Helligkeitswert, Konstantlichtregelung, Dämmerungsschalter, Logikgatter, Vernetzung: Ja; Einstellung via: ETS-Software, Fernbedienung, Bus, Smart Remote; Vernetzung via KNX-Bus; Art der Vernetzung: Master/Master, Master/Slave; Farbe: Weiß; RAL-Farbe: 9003; Abmessungen (L x B x H): 51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058326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Light Sensor Dual KNX -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2025-01-09T01:50:09+01:00</dcterms:created>
  <dcterms:modified xsi:type="dcterms:W3CDTF">2025-01-09T01:50:09+01:00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